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jc w:val="right"/>
      </w:pPr>
      <w:r>
        <w:rPr/>
        <w:t>ADOPTED – SEPTEMBER 22,</w:t>
      </w:r>
      <w:r>
        <w:rPr>
          <w:spacing w:val="-9"/>
        </w:rPr>
        <w:t> </w:t>
      </w:r>
      <w:r>
        <w:rPr/>
        <w:t>2026</w:t>
      </w:r>
    </w:p>
    <w:p>
      <w:pPr>
        <w:spacing w:before="0"/>
        <w:ind w:left="0" w:right="98" w:firstLine="0"/>
        <w:jc w:val="right"/>
        <w:rPr>
          <w:b/>
          <w:sz w:val="24"/>
        </w:rPr>
      </w:pPr>
      <w:r>
        <w:rPr>
          <w:b/>
          <w:sz w:val="24"/>
        </w:rPr>
        <w:t>AGENDA ITEM NO.</w:t>
      </w:r>
      <w:r>
        <w:rPr>
          <w:b/>
          <w:spacing w:val="-6"/>
          <w:sz w:val="24"/>
        </w:rPr>
        <w:t> </w:t>
      </w:r>
      <w:r>
        <w:rPr>
          <w:b/>
          <w:sz w:val="24"/>
        </w:rPr>
        <w:t>25</w:t>
      </w:r>
    </w:p>
    <w:p>
      <w:pPr>
        <w:pStyle w:val="BodyText"/>
        <w:spacing w:before="2"/>
        <w:rPr>
          <w:b/>
          <w:sz w:val="16"/>
        </w:rPr>
      </w:pPr>
    </w:p>
    <w:p>
      <w:pPr>
        <w:pStyle w:val="BodyText"/>
        <w:spacing w:before="90"/>
        <w:ind w:left="120"/>
      </w:pPr>
      <w:r>
        <w:rPr/>
        <w:t>Introduced by the County Services and Finance Committees of the:</w:t>
      </w:r>
    </w:p>
    <w:p>
      <w:pPr>
        <w:pStyle w:val="BodyText"/>
      </w:pPr>
    </w:p>
    <w:p>
      <w:pPr>
        <w:pStyle w:val="BodyText"/>
        <w:ind w:left="2824" w:right="2808"/>
        <w:jc w:val="center"/>
      </w:pPr>
      <w:r>
        <w:rPr/>
        <w:t>INGHAM COUNTY BOARD OF COMMISSIONERS</w:t>
      </w:r>
    </w:p>
    <w:p>
      <w:pPr>
        <w:pStyle w:val="BodyText"/>
      </w:pPr>
    </w:p>
    <w:p>
      <w:pPr>
        <w:pStyle w:val="Heading1"/>
        <w:ind w:left="530" w:right="507" w:hanging="4"/>
      </w:pPr>
      <w:r>
        <w:rPr/>
        <w:t>RESOLUTION TO ACCEPT THE RECOMMENDATION OF THE INGHAM COUNTY HEALTH CARE COALITION FOR EMPLOYEE BENEFITS FOR 2027 AND AUTHORIZING LETTERS OF AGREEMENT WITH BARGAINING UNITS</w:t>
      </w:r>
    </w:p>
    <w:p>
      <w:pPr>
        <w:pStyle w:val="BodyText"/>
        <w:rPr>
          <w:b/>
        </w:rPr>
      </w:pPr>
    </w:p>
    <w:p>
      <w:pPr>
        <w:spacing w:before="0"/>
        <w:ind w:left="2824" w:right="2805" w:firstLine="0"/>
        <w:jc w:val="center"/>
        <w:rPr>
          <w:b/>
          <w:sz w:val="24"/>
        </w:rPr>
      </w:pPr>
      <w:r>
        <w:rPr>
          <w:b/>
          <w:sz w:val="24"/>
        </w:rPr>
        <w:t>RESOLUTION #26 – 442</w:t>
      </w:r>
    </w:p>
    <w:p>
      <w:pPr>
        <w:pStyle w:val="BodyText"/>
        <w:rPr>
          <w:b/>
          <w:sz w:val="26"/>
        </w:rPr>
      </w:pPr>
    </w:p>
    <w:p>
      <w:pPr>
        <w:pStyle w:val="BodyText"/>
        <w:rPr>
          <w:b/>
          <w:sz w:val="22"/>
        </w:rPr>
      </w:pPr>
    </w:p>
    <w:p>
      <w:pPr>
        <w:pStyle w:val="BodyText"/>
        <w:ind w:left="119" w:right="237"/>
      </w:pPr>
      <w:r>
        <w:rPr/>
        <w:t>WHEREAS, on October 28, 2014 the Board of Commissioners approved Resolution #14-436 which resolved, in part, to dedicate 50 percent of any net savings in health care costs to the reduction of the employee premium cost share, applied to all employee groups that agree to implement the comprehensive healthcare management program; and</w:t>
      </w:r>
    </w:p>
    <w:p>
      <w:pPr>
        <w:pStyle w:val="BodyText"/>
      </w:pPr>
    </w:p>
    <w:p>
      <w:pPr>
        <w:pStyle w:val="BodyText"/>
        <w:ind w:left="119" w:right="396"/>
      </w:pPr>
      <w:r>
        <w:rPr/>
        <w:t>WHEREAS, the Ingham County Health Care Coalition has investigated options for the County’s 2027 health care plan and has agreed to changes in the premium sharing, Employer Health Savings Account (HSA) contribution and waiver rate agreements for 2027; and</w:t>
      </w:r>
    </w:p>
    <w:p>
      <w:pPr>
        <w:pStyle w:val="BodyText"/>
      </w:pPr>
    </w:p>
    <w:p>
      <w:pPr>
        <w:pStyle w:val="BodyText"/>
        <w:ind w:left="119" w:right="165"/>
        <w:jc w:val="both"/>
      </w:pPr>
      <w:r>
        <w:rPr/>
        <w:t>WHEREAS, it has also been determined by the Health Care Coalition that Blue Cross Blue Shield (BCBS) will continue to be the health insurance plan provider, with increases to the purchased plan out of pocket maximums and co-payments with no impact on employees in the HRA High and Standard plans; and</w:t>
      </w:r>
    </w:p>
    <w:p>
      <w:pPr>
        <w:pStyle w:val="BodyText"/>
      </w:pPr>
    </w:p>
    <w:p>
      <w:pPr>
        <w:pStyle w:val="BodyText"/>
        <w:ind w:left="119" w:right="216"/>
      </w:pPr>
      <w:r>
        <w:rPr/>
        <w:t>WHEREAS, it has also been determined by the Health Care Coalition that employer contributions to employee health savings accounts (HSAs) increase from $900 single and $1800 Two-Person/Family to $950 single and</w:t>
      </w:r>
    </w:p>
    <w:p>
      <w:pPr>
        <w:pStyle w:val="BodyText"/>
        <w:spacing w:before="1"/>
        <w:ind w:left="119" w:right="497"/>
      </w:pPr>
      <w:r>
        <w:rPr/>
        <w:t>$1900 Two-Person/Family (prorated on a per pay basis), to be made for employees enrolled in the base plan health insurance option; and</w:t>
      </w:r>
    </w:p>
    <w:p>
      <w:pPr>
        <w:pStyle w:val="BodyText"/>
        <w:spacing w:before="11"/>
        <w:rPr>
          <w:sz w:val="23"/>
        </w:rPr>
      </w:pPr>
    </w:p>
    <w:p>
      <w:pPr>
        <w:pStyle w:val="BodyText"/>
        <w:ind w:left="119" w:right="550"/>
      </w:pPr>
      <w:r>
        <w:rPr/>
        <w:t>WHEREAS, it has also been determined by the Health Care Coalition that the per pay period full-time employee premium cost share rates should be calculated and established as follows for plan year 2027 from plan year 2026 as follows:</w:t>
      </w:r>
    </w:p>
    <w:p>
      <w:pPr>
        <w:pStyle w:val="BodyText"/>
        <w:spacing w:before="10"/>
      </w:pPr>
    </w:p>
    <w:tbl>
      <w:tblPr>
        <w:tblW w:w="0" w:type="auto"/>
        <w:jc w:val="left"/>
        <w:tblInd w:w="15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733"/>
        <w:gridCol w:w="1341"/>
        <w:gridCol w:w="1194"/>
      </w:tblGrid>
      <w:tr>
        <w:trPr>
          <w:trHeight w:val="270" w:hRule="atLeast"/>
        </w:trPr>
        <w:tc>
          <w:tcPr>
            <w:tcW w:w="2733" w:type="dxa"/>
          </w:tcPr>
          <w:p>
            <w:pPr>
              <w:pStyle w:val="TableParagraph"/>
              <w:spacing w:line="240" w:lineRule="auto"/>
              <w:ind w:left="0"/>
              <w:rPr>
                <w:sz w:val="20"/>
              </w:rPr>
            </w:pPr>
          </w:p>
        </w:tc>
        <w:tc>
          <w:tcPr>
            <w:tcW w:w="1341" w:type="dxa"/>
          </w:tcPr>
          <w:p>
            <w:pPr>
              <w:pStyle w:val="TableParagraph"/>
              <w:spacing w:line="251" w:lineRule="exact"/>
              <w:ind w:left="196"/>
              <w:rPr>
                <w:sz w:val="24"/>
              </w:rPr>
            </w:pPr>
            <w:r>
              <w:rPr>
                <w:sz w:val="24"/>
                <w:u w:val="single"/>
              </w:rPr>
              <w:t>2026/pp,</w:t>
            </w:r>
          </w:p>
        </w:tc>
        <w:tc>
          <w:tcPr>
            <w:tcW w:w="1194" w:type="dxa"/>
          </w:tcPr>
          <w:p>
            <w:pPr>
              <w:pStyle w:val="TableParagraph"/>
              <w:spacing w:line="251" w:lineRule="exact"/>
              <w:ind w:left="296"/>
              <w:rPr>
                <w:sz w:val="24"/>
              </w:rPr>
            </w:pPr>
            <w:r>
              <w:rPr>
                <w:sz w:val="24"/>
                <w:u w:val="single"/>
              </w:rPr>
              <w:t>2027/pp.</w:t>
            </w:r>
          </w:p>
        </w:tc>
      </w:tr>
      <w:tr>
        <w:trPr>
          <w:trHeight w:val="275" w:hRule="atLeast"/>
        </w:trPr>
        <w:tc>
          <w:tcPr>
            <w:tcW w:w="2733" w:type="dxa"/>
          </w:tcPr>
          <w:p>
            <w:pPr>
              <w:pStyle w:val="TableParagraph"/>
              <w:rPr>
                <w:sz w:val="24"/>
              </w:rPr>
            </w:pPr>
            <w:r>
              <w:rPr>
                <w:sz w:val="24"/>
              </w:rPr>
              <w:t>BCBS High Single:</w:t>
            </w:r>
          </w:p>
        </w:tc>
        <w:tc>
          <w:tcPr>
            <w:tcW w:w="1341" w:type="dxa"/>
          </w:tcPr>
          <w:p>
            <w:pPr>
              <w:pStyle w:val="TableParagraph"/>
              <w:ind w:left="196"/>
              <w:rPr>
                <w:sz w:val="24"/>
              </w:rPr>
            </w:pPr>
            <w:r>
              <w:rPr>
                <w:sz w:val="24"/>
              </w:rPr>
              <w:t>$137.85</w:t>
            </w:r>
          </w:p>
        </w:tc>
        <w:tc>
          <w:tcPr>
            <w:tcW w:w="1194" w:type="dxa"/>
          </w:tcPr>
          <w:p>
            <w:pPr>
              <w:pStyle w:val="TableParagraph"/>
              <w:ind w:left="296"/>
              <w:rPr>
                <w:sz w:val="24"/>
              </w:rPr>
            </w:pPr>
            <w:r>
              <w:rPr>
                <w:sz w:val="24"/>
              </w:rPr>
              <w:t>$149.30</w:t>
            </w:r>
          </w:p>
        </w:tc>
      </w:tr>
      <w:tr>
        <w:trPr>
          <w:trHeight w:val="276" w:hRule="atLeast"/>
        </w:trPr>
        <w:tc>
          <w:tcPr>
            <w:tcW w:w="2733" w:type="dxa"/>
          </w:tcPr>
          <w:p>
            <w:pPr>
              <w:pStyle w:val="TableParagraph"/>
              <w:rPr>
                <w:sz w:val="24"/>
              </w:rPr>
            </w:pPr>
            <w:r>
              <w:rPr>
                <w:sz w:val="24"/>
              </w:rPr>
              <w:t>BCBS High 2 Person:</w:t>
            </w:r>
          </w:p>
        </w:tc>
        <w:tc>
          <w:tcPr>
            <w:tcW w:w="1341" w:type="dxa"/>
          </w:tcPr>
          <w:p>
            <w:pPr>
              <w:pStyle w:val="TableParagraph"/>
              <w:ind w:left="196"/>
              <w:rPr>
                <w:sz w:val="24"/>
              </w:rPr>
            </w:pPr>
            <w:r>
              <w:rPr>
                <w:sz w:val="24"/>
              </w:rPr>
              <w:t>$330.84</w:t>
            </w:r>
          </w:p>
        </w:tc>
        <w:tc>
          <w:tcPr>
            <w:tcW w:w="1194" w:type="dxa"/>
          </w:tcPr>
          <w:p>
            <w:pPr>
              <w:pStyle w:val="TableParagraph"/>
              <w:ind w:left="296"/>
              <w:rPr>
                <w:sz w:val="24"/>
              </w:rPr>
            </w:pPr>
            <w:r>
              <w:rPr>
                <w:sz w:val="24"/>
              </w:rPr>
              <w:t>$358.32</w:t>
            </w:r>
          </w:p>
        </w:tc>
      </w:tr>
      <w:tr>
        <w:trPr>
          <w:trHeight w:val="414" w:hRule="atLeast"/>
        </w:trPr>
        <w:tc>
          <w:tcPr>
            <w:tcW w:w="2733" w:type="dxa"/>
          </w:tcPr>
          <w:p>
            <w:pPr>
              <w:pStyle w:val="TableParagraph"/>
              <w:spacing w:line="271" w:lineRule="exact"/>
              <w:rPr>
                <w:sz w:val="24"/>
              </w:rPr>
            </w:pPr>
            <w:r>
              <w:rPr>
                <w:sz w:val="24"/>
              </w:rPr>
              <w:t>BCBS High Family:</w:t>
            </w:r>
          </w:p>
        </w:tc>
        <w:tc>
          <w:tcPr>
            <w:tcW w:w="1341" w:type="dxa"/>
          </w:tcPr>
          <w:p>
            <w:pPr>
              <w:pStyle w:val="TableParagraph"/>
              <w:spacing w:line="271" w:lineRule="exact"/>
              <w:ind w:left="196"/>
              <w:rPr>
                <w:sz w:val="24"/>
              </w:rPr>
            </w:pPr>
            <w:r>
              <w:rPr>
                <w:sz w:val="24"/>
              </w:rPr>
              <w:t>$413.56</w:t>
            </w:r>
          </w:p>
        </w:tc>
        <w:tc>
          <w:tcPr>
            <w:tcW w:w="1194" w:type="dxa"/>
          </w:tcPr>
          <w:p>
            <w:pPr>
              <w:pStyle w:val="TableParagraph"/>
              <w:spacing w:line="271" w:lineRule="exact"/>
              <w:ind w:left="296"/>
              <w:rPr>
                <w:sz w:val="24"/>
              </w:rPr>
            </w:pPr>
            <w:r>
              <w:rPr>
                <w:sz w:val="24"/>
              </w:rPr>
              <w:t>$447.90</w:t>
            </w:r>
          </w:p>
        </w:tc>
      </w:tr>
      <w:tr>
        <w:trPr>
          <w:trHeight w:val="414" w:hRule="atLeast"/>
        </w:trPr>
        <w:tc>
          <w:tcPr>
            <w:tcW w:w="2733" w:type="dxa"/>
          </w:tcPr>
          <w:p>
            <w:pPr>
              <w:pStyle w:val="TableParagraph"/>
              <w:spacing w:line="261" w:lineRule="exact" w:before="133"/>
              <w:rPr>
                <w:sz w:val="24"/>
              </w:rPr>
            </w:pPr>
            <w:r>
              <w:rPr>
                <w:sz w:val="24"/>
              </w:rPr>
              <w:t>BCBS Standard Single:</w:t>
            </w:r>
          </w:p>
        </w:tc>
        <w:tc>
          <w:tcPr>
            <w:tcW w:w="1341" w:type="dxa"/>
          </w:tcPr>
          <w:p>
            <w:pPr>
              <w:pStyle w:val="TableParagraph"/>
              <w:spacing w:line="261" w:lineRule="exact" w:before="133"/>
              <w:ind w:left="196"/>
              <w:rPr>
                <w:sz w:val="24"/>
              </w:rPr>
            </w:pPr>
            <w:r>
              <w:rPr>
                <w:sz w:val="24"/>
              </w:rPr>
              <w:t>$57.55</w:t>
            </w:r>
          </w:p>
        </w:tc>
        <w:tc>
          <w:tcPr>
            <w:tcW w:w="1194" w:type="dxa"/>
          </w:tcPr>
          <w:p>
            <w:pPr>
              <w:pStyle w:val="TableParagraph"/>
              <w:spacing w:line="261" w:lineRule="exact" w:before="133"/>
              <w:ind w:left="296"/>
              <w:rPr>
                <w:sz w:val="24"/>
              </w:rPr>
            </w:pPr>
            <w:r>
              <w:rPr>
                <w:sz w:val="24"/>
              </w:rPr>
              <w:t>$63.31</w:t>
            </w:r>
          </w:p>
        </w:tc>
      </w:tr>
      <w:tr>
        <w:trPr>
          <w:trHeight w:val="276" w:hRule="atLeast"/>
        </w:trPr>
        <w:tc>
          <w:tcPr>
            <w:tcW w:w="2733" w:type="dxa"/>
          </w:tcPr>
          <w:p>
            <w:pPr>
              <w:pStyle w:val="TableParagraph"/>
              <w:rPr>
                <w:sz w:val="24"/>
              </w:rPr>
            </w:pPr>
            <w:r>
              <w:rPr>
                <w:sz w:val="24"/>
              </w:rPr>
              <w:t>BCBS Standard 2 Person:</w:t>
            </w:r>
          </w:p>
        </w:tc>
        <w:tc>
          <w:tcPr>
            <w:tcW w:w="1341" w:type="dxa"/>
          </w:tcPr>
          <w:p>
            <w:pPr>
              <w:pStyle w:val="TableParagraph"/>
              <w:ind w:left="196"/>
              <w:rPr>
                <w:sz w:val="24"/>
              </w:rPr>
            </w:pPr>
            <w:r>
              <w:rPr>
                <w:sz w:val="24"/>
              </w:rPr>
              <w:t>$184.25</w:t>
            </w:r>
          </w:p>
        </w:tc>
        <w:tc>
          <w:tcPr>
            <w:tcW w:w="1194" w:type="dxa"/>
          </w:tcPr>
          <w:p>
            <w:pPr>
              <w:pStyle w:val="TableParagraph"/>
              <w:ind w:left="296"/>
              <w:rPr>
                <w:sz w:val="24"/>
              </w:rPr>
            </w:pPr>
            <w:r>
              <w:rPr>
                <w:sz w:val="24"/>
              </w:rPr>
              <w:t>$202.58</w:t>
            </w:r>
          </w:p>
        </w:tc>
      </w:tr>
      <w:tr>
        <w:trPr>
          <w:trHeight w:val="413" w:hRule="atLeast"/>
        </w:trPr>
        <w:tc>
          <w:tcPr>
            <w:tcW w:w="2733" w:type="dxa"/>
          </w:tcPr>
          <w:p>
            <w:pPr>
              <w:pStyle w:val="TableParagraph"/>
              <w:spacing w:line="271" w:lineRule="exact"/>
              <w:rPr>
                <w:sz w:val="24"/>
              </w:rPr>
            </w:pPr>
            <w:r>
              <w:rPr>
                <w:sz w:val="24"/>
              </w:rPr>
              <w:t>BCBS Standard Family:</w:t>
            </w:r>
          </w:p>
        </w:tc>
        <w:tc>
          <w:tcPr>
            <w:tcW w:w="1341" w:type="dxa"/>
          </w:tcPr>
          <w:p>
            <w:pPr>
              <w:pStyle w:val="TableParagraph"/>
              <w:spacing w:line="271" w:lineRule="exact"/>
              <w:ind w:left="196"/>
              <w:rPr>
                <w:sz w:val="24"/>
              </w:rPr>
            </w:pPr>
            <w:r>
              <w:rPr>
                <w:sz w:val="24"/>
              </w:rPr>
              <w:t>$230.19</w:t>
            </w:r>
          </w:p>
        </w:tc>
        <w:tc>
          <w:tcPr>
            <w:tcW w:w="1194" w:type="dxa"/>
          </w:tcPr>
          <w:p>
            <w:pPr>
              <w:pStyle w:val="TableParagraph"/>
              <w:spacing w:line="271" w:lineRule="exact"/>
              <w:ind w:left="296"/>
              <w:rPr>
                <w:sz w:val="24"/>
              </w:rPr>
            </w:pPr>
            <w:r>
              <w:rPr>
                <w:sz w:val="24"/>
              </w:rPr>
              <w:t>$253.22</w:t>
            </w:r>
          </w:p>
        </w:tc>
      </w:tr>
      <w:tr>
        <w:trPr>
          <w:trHeight w:val="413" w:hRule="atLeast"/>
        </w:trPr>
        <w:tc>
          <w:tcPr>
            <w:tcW w:w="2733" w:type="dxa"/>
          </w:tcPr>
          <w:p>
            <w:pPr>
              <w:pStyle w:val="TableParagraph"/>
              <w:spacing w:line="261" w:lineRule="exact" w:before="133"/>
              <w:rPr>
                <w:sz w:val="24"/>
              </w:rPr>
            </w:pPr>
            <w:r>
              <w:rPr>
                <w:sz w:val="24"/>
              </w:rPr>
              <w:t>BCBS Base Single:</w:t>
            </w:r>
          </w:p>
        </w:tc>
        <w:tc>
          <w:tcPr>
            <w:tcW w:w="1341" w:type="dxa"/>
          </w:tcPr>
          <w:p>
            <w:pPr>
              <w:pStyle w:val="TableParagraph"/>
              <w:spacing w:line="261" w:lineRule="exact" w:before="133"/>
              <w:ind w:left="196"/>
              <w:rPr>
                <w:sz w:val="24"/>
              </w:rPr>
            </w:pPr>
            <w:r>
              <w:rPr>
                <w:sz w:val="24"/>
              </w:rPr>
              <w:t>$0.00</w:t>
            </w:r>
          </w:p>
        </w:tc>
        <w:tc>
          <w:tcPr>
            <w:tcW w:w="1194" w:type="dxa"/>
          </w:tcPr>
          <w:p>
            <w:pPr>
              <w:pStyle w:val="TableParagraph"/>
              <w:spacing w:line="261" w:lineRule="exact" w:before="133"/>
              <w:ind w:left="296"/>
              <w:rPr>
                <w:sz w:val="24"/>
              </w:rPr>
            </w:pPr>
            <w:r>
              <w:rPr>
                <w:sz w:val="24"/>
              </w:rPr>
              <w:t>$0.00</w:t>
            </w:r>
          </w:p>
        </w:tc>
      </w:tr>
      <w:tr>
        <w:trPr>
          <w:trHeight w:val="276" w:hRule="atLeast"/>
        </w:trPr>
        <w:tc>
          <w:tcPr>
            <w:tcW w:w="2733" w:type="dxa"/>
          </w:tcPr>
          <w:p>
            <w:pPr>
              <w:pStyle w:val="TableParagraph"/>
              <w:rPr>
                <w:sz w:val="24"/>
              </w:rPr>
            </w:pPr>
            <w:r>
              <w:rPr>
                <w:sz w:val="24"/>
              </w:rPr>
              <w:t>BCBS 2 Person:</w:t>
            </w:r>
          </w:p>
        </w:tc>
        <w:tc>
          <w:tcPr>
            <w:tcW w:w="1341" w:type="dxa"/>
          </w:tcPr>
          <w:p>
            <w:pPr>
              <w:pStyle w:val="TableParagraph"/>
              <w:ind w:left="196"/>
              <w:rPr>
                <w:sz w:val="24"/>
              </w:rPr>
            </w:pPr>
            <w:r>
              <w:rPr>
                <w:sz w:val="24"/>
              </w:rPr>
              <w:t>$0.00</w:t>
            </w:r>
          </w:p>
        </w:tc>
        <w:tc>
          <w:tcPr>
            <w:tcW w:w="1194" w:type="dxa"/>
          </w:tcPr>
          <w:p>
            <w:pPr>
              <w:pStyle w:val="TableParagraph"/>
              <w:ind w:left="296"/>
              <w:rPr>
                <w:sz w:val="24"/>
              </w:rPr>
            </w:pPr>
            <w:r>
              <w:rPr>
                <w:sz w:val="24"/>
              </w:rPr>
              <w:t>$0.00</w:t>
            </w:r>
          </w:p>
        </w:tc>
      </w:tr>
      <w:tr>
        <w:trPr>
          <w:trHeight w:val="270" w:hRule="atLeast"/>
        </w:trPr>
        <w:tc>
          <w:tcPr>
            <w:tcW w:w="2733" w:type="dxa"/>
          </w:tcPr>
          <w:p>
            <w:pPr>
              <w:pStyle w:val="TableParagraph"/>
              <w:spacing w:line="251" w:lineRule="exact"/>
              <w:rPr>
                <w:sz w:val="24"/>
              </w:rPr>
            </w:pPr>
            <w:r>
              <w:rPr>
                <w:sz w:val="24"/>
              </w:rPr>
              <w:t>BCBS Family:</w:t>
            </w:r>
          </w:p>
        </w:tc>
        <w:tc>
          <w:tcPr>
            <w:tcW w:w="1341" w:type="dxa"/>
          </w:tcPr>
          <w:p>
            <w:pPr>
              <w:pStyle w:val="TableParagraph"/>
              <w:spacing w:line="251" w:lineRule="exact"/>
              <w:ind w:left="196"/>
              <w:rPr>
                <w:sz w:val="24"/>
              </w:rPr>
            </w:pPr>
            <w:r>
              <w:rPr>
                <w:sz w:val="24"/>
              </w:rPr>
              <w:t>$0.00</w:t>
            </w:r>
          </w:p>
        </w:tc>
        <w:tc>
          <w:tcPr>
            <w:tcW w:w="1194" w:type="dxa"/>
          </w:tcPr>
          <w:p>
            <w:pPr>
              <w:pStyle w:val="TableParagraph"/>
              <w:spacing w:line="251" w:lineRule="exact"/>
              <w:ind w:left="296"/>
              <w:rPr>
                <w:sz w:val="24"/>
              </w:rPr>
            </w:pPr>
            <w:r>
              <w:rPr>
                <w:sz w:val="24"/>
              </w:rPr>
              <w:t>$0.00</w:t>
            </w:r>
          </w:p>
        </w:tc>
      </w:tr>
    </w:tbl>
    <w:p>
      <w:pPr>
        <w:spacing w:after="0" w:line="251" w:lineRule="exact"/>
        <w:rPr>
          <w:sz w:val="24"/>
        </w:rPr>
        <w:sectPr>
          <w:type w:val="continuous"/>
          <w:pgSz w:w="12240" w:h="15840"/>
          <w:pgMar w:top="1360" w:bottom="280" w:left="600" w:right="620"/>
        </w:sectPr>
      </w:pPr>
    </w:p>
    <w:p>
      <w:pPr>
        <w:pStyle w:val="BodyText"/>
        <w:spacing w:before="79"/>
        <w:ind w:left="120"/>
      </w:pPr>
      <w:r>
        <w:rPr/>
        <w:t>;and</w:t>
      </w:r>
    </w:p>
    <w:p>
      <w:pPr>
        <w:pStyle w:val="BodyText"/>
      </w:pPr>
    </w:p>
    <w:p>
      <w:pPr>
        <w:pStyle w:val="BodyText"/>
        <w:ind w:left="120" w:right="462"/>
      </w:pPr>
      <w:r>
        <w:rPr/>
        <w:t>WHEREAS, it was also determined by the Health Care Coalition that the 2027 health insurance waiver rates should be increased over 2026 rates by 4% as follows:</w:t>
      </w:r>
    </w:p>
    <w:p>
      <w:pPr>
        <w:pStyle w:val="BodyText"/>
        <w:rPr>
          <w:sz w:val="20"/>
        </w:rPr>
      </w:pPr>
    </w:p>
    <w:p>
      <w:pPr>
        <w:pStyle w:val="BodyText"/>
        <w:spacing w:before="10"/>
        <w:rPr>
          <w:sz w:val="28"/>
        </w:rPr>
      </w:pPr>
    </w:p>
    <w:tbl>
      <w:tblPr>
        <w:tblW w:w="0" w:type="auto"/>
        <w:jc w:val="left"/>
        <w:tblInd w:w="15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335"/>
        <w:gridCol w:w="582"/>
        <w:gridCol w:w="1469"/>
        <w:gridCol w:w="1227"/>
      </w:tblGrid>
      <w:tr>
        <w:trPr>
          <w:trHeight w:val="270" w:hRule="atLeast"/>
        </w:trPr>
        <w:tc>
          <w:tcPr>
            <w:tcW w:w="1917" w:type="dxa"/>
            <w:gridSpan w:val="2"/>
          </w:tcPr>
          <w:p>
            <w:pPr>
              <w:pStyle w:val="TableParagraph"/>
              <w:spacing w:line="240" w:lineRule="auto"/>
              <w:ind w:left="0"/>
              <w:rPr>
                <w:sz w:val="20"/>
              </w:rPr>
            </w:pPr>
          </w:p>
        </w:tc>
        <w:tc>
          <w:tcPr>
            <w:tcW w:w="1469" w:type="dxa"/>
          </w:tcPr>
          <w:p>
            <w:pPr>
              <w:pStyle w:val="TableParagraph"/>
              <w:spacing w:line="251" w:lineRule="exact"/>
              <w:ind w:left="293"/>
              <w:rPr>
                <w:sz w:val="24"/>
              </w:rPr>
            </w:pPr>
            <w:r>
              <w:rPr>
                <w:sz w:val="24"/>
                <w:u w:val="single"/>
              </w:rPr>
              <w:t>2026/mo.</w:t>
            </w:r>
          </w:p>
        </w:tc>
        <w:tc>
          <w:tcPr>
            <w:tcW w:w="1227" w:type="dxa"/>
          </w:tcPr>
          <w:p>
            <w:pPr>
              <w:pStyle w:val="TableParagraph"/>
              <w:spacing w:line="251" w:lineRule="exact"/>
              <w:ind w:left="263"/>
              <w:rPr>
                <w:sz w:val="24"/>
              </w:rPr>
            </w:pPr>
            <w:r>
              <w:rPr>
                <w:sz w:val="24"/>
                <w:u w:val="single"/>
              </w:rPr>
              <w:t>2027/mo.</w:t>
            </w:r>
          </w:p>
        </w:tc>
      </w:tr>
      <w:tr>
        <w:trPr>
          <w:trHeight w:val="275" w:hRule="atLeast"/>
        </w:trPr>
        <w:tc>
          <w:tcPr>
            <w:tcW w:w="1335" w:type="dxa"/>
          </w:tcPr>
          <w:p>
            <w:pPr>
              <w:pStyle w:val="TableParagraph"/>
              <w:rPr>
                <w:sz w:val="24"/>
              </w:rPr>
            </w:pPr>
            <w:r>
              <w:rPr>
                <w:sz w:val="24"/>
              </w:rPr>
              <w:t>Full Family</w:t>
            </w:r>
          </w:p>
        </w:tc>
        <w:tc>
          <w:tcPr>
            <w:tcW w:w="582" w:type="dxa"/>
          </w:tcPr>
          <w:p>
            <w:pPr>
              <w:pStyle w:val="TableParagraph"/>
              <w:ind w:left="155"/>
              <w:rPr>
                <w:sz w:val="24"/>
              </w:rPr>
            </w:pPr>
            <w:r>
              <w:rPr>
                <w:sz w:val="24"/>
              </w:rPr>
              <w:t>=</w:t>
            </w:r>
          </w:p>
        </w:tc>
        <w:tc>
          <w:tcPr>
            <w:tcW w:w="1469" w:type="dxa"/>
          </w:tcPr>
          <w:p>
            <w:pPr>
              <w:pStyle w:val="TableParagraph"/>
              <w:ind w:left="293"/>
              <w:rPr>
                <w:sz w:val="24"/>
              </w:rPr>
            </w:pPr>
            <w:r>
              <w:rPr>
                <w:sz w:val="24"/>
              </w:rPr>
              <w:t>$307.43</w:t>
            </w:r>
          </w:p>
        </w:tc>
        <w:tc>
          <w:tcPr>
            <w:tcW w:w="1227" w:type="dxa"/>
          </w:tcPr>
          <w:p>
            <w:pPr>
              <w:pStyle w:val="TableParagraph"/>
              <w:ind w:left="263"/>
              <w:rPr>
                <w:sz w:val="24"/>
              </w:rPr>
            </w:pPr>
            <w:r>
              <w:rPr>
                <w:sz w:val="24"/>
              </w:rPr>
              <w:t>$319.73</w:t>
            </w:r>
          </w:p>
        </w:tc>
      </w:tr>
      <w:tr>
        <w:trPr>
          <w:trHeight w:val="275" w:hRule="atLeast"/>
        </w:trPr>
        <w:tc>
          <w:tcPr>
            <w:tcW w:w="1335" w:type="dxa"/>
          </w:tcPr>
          <w:p>
            <w:pPr>
              <w:pStyle w:val="TableParagraph"/>
              <w:rPr>
                <w:sz w:val="24"/>
              </w:rPr>
            </w:pPr>
            <w:r>
              <w:rPr>
                <w:sz w:val="24"/>
              </w:rPr>
              <w:t>2-Person</w:t>
            </w:r>
          </w:p>
        </w:tc>
        <w:tc>
          <w:tcPr>
            <w:tcW w:w="582" w:type="dxa"/>
          </w:tcPr>
          <w:p>
            <w:pPr>
              <w:pStyle w:val="TableParagraph"/>
              <w:ind w:left="155"/>
              <w:rPr>
                <w:sz w:val="24"/>
              </w:rPr>
            </w:pPr>
            <w:r>
              <w:rPr>
                <w:sz w:val="24"/>
              </w:rPr>
              <w:t>=</w:t>
            </w:r>
          </w:p>
        </w:tc>
        <w:tc>
          <w:tcPr>
            <w:tcW w:w="1469" w:type="dxa"/>
          </w:tcPr>
          <w:p>
            <w:pPr>
              <w:pStyle w:val="TableParagraph"/>
              <w:ind w:left="293"/>
              <w:rPr>
                <w:sz w:val="24"/>
              </w:rPr>
            </w:pPr>
            <w:r>
              <w:rPr>
                <w:sz w:val="24"/>
              </w:rPr>
              <w:t>$274.49</w:t>
            </w:r>
          </w:p>
        </w:tc>
        <w:tc>
          <w:tcPr>
            <w:tcW w:w="1227" w:type="dxa"/>
          </w:tcPr>
          <w:p>
            <w:pPr>
              <w:pStyle w:val="TableParagraph"/>
              <w:ind w:left="263"/>
              <w:rPr>
                <w:sz w:val="24"/>
              </w:rPr>
            </w:pPr>
            <w:r>
              <w:rPr>
                <w:sz w:val="24"/>
              </w:rPr>
              <w:t>$285.47</w:t>
            </w:r>
          </w:p>
        </w:tc>
      </w:tr>
      <w:tr>
        <w:trPr>
          <w:trHeight w:val="270" w:hRule="atLeast"/>
        </w:trPr>
        <w:tc>
          <w:tcPr>
            <w:tcW w:w="1335" w:type="dxa"/>
          </w:tcPr>
          <w:p>
            <w:pPr>
              <w:pStyle w:val="TableParagraph"/>
              <w:spacing w:line="251" w:lineRule="exact"/>
              <w:rPr>
                <w:sz w:val="24"/>
              </w:rPr>
            </w:pPr>
            <w:r>
              <w:rPr>
                <w:sz w:val="24"/>
              </w:rPr>
              <w:t>Single</w:t>
            </w:r>
          </w:p>
        </w:tc>
        <w:tc>
          <w:tcPr>
            <w:tcW w:w="582" w:type="dxa"/>
          </w:tcPr>
          <w:p>
            <w:pPr>
              <w:pStyle w:val="TableParagraph"/>
              <w:spacing w:line="251" w:lineRule="exact"/>
              <w:ind w:left="155"/>
              <w:rPr>
                <w:sz w:val="24"/>
              </w:rPr>
            </w:pPr>
            <w:r>
              <w:rPr>
                <w:sz w:val="24"/>
              </w:rPr>
              <w:t>=</w:t>
            </w:r>
          </w:p>
        </w:tc>
        <w:tc>
          <w:tcPr>
            <w:tcW w:w="1469" w:type="dxa"/>
          </w:tcPr>
          <w:p>
            <w:pPr>
              <w:pStyle w:val="TableParagraph"/>
              <w:spacing w:line="251" w:lineRule="exact"/>
              <w:ind w:left="293"/>
              <w:rPr>
                <w:sz w:val="24"/>
              </w:rPr>
            </w:pPr>
            <w:r>
              <w:rPr>
                <w:sz w:val="24"/>
              </w:rPr>
              <w:t>$175.68</w:t>
            </w:r>
          </w:p>
        </w:tc>
        <w:tc>
          <w:tcPr>
            <w:tcW w:w="1227" w:type="dxa"/>
          </w:tcPr>
          <w:p>
            <w:pPr>
              <w:pStyle w:val="TableParagraph"/>
              <w:spacing w:line="251" w:lineRule="exact"/>
              <w:ind w:left="263"/>
              <w:rPr>
                <w:sz w:val="24"/>
              </w:rPr>
            </w:pPr>
            <w:r>
              <w:rPr>
                <w:sz w:val="24"/>
              </w:rPr>
              <w:t>$182.70</w:t>
            </w:r>
          </w:p>
        </w:tc>
      </w:tr>
    </w:tbl>
    <w:p>
      <w:pPr>
        <w:pStyle w:val="BodyText"/>
        <w:rPr>
          <w:sz w:val="20"/>
        </w:rPr>
      </w:pPr>
    </w:p>
    <w:p>
      <w:pPr>
        <w:pStyle w:val="BodyText"/>
        <w:spacing w:before="2"/>
        <w:rPr>
          <w:sz w:val="20"/>
        </w:rPr>
      </w:pPr>
    </w:p>
    <w:p>
      <w:pPr>
        <w:pStyle w:val="BodyText"/>
        <w:spacing w:before="90"/>
        <w:ind w:left="120" w:right="243"/>
      </w:pPr>
      <w:r>
        <w:rPr/>
        <w:t>THEREFORE BE IT RESOLVED, that the Ingham County Board of Commissioners, pending ratification by the collective bargaining unit members of the Health Care Coalition, approves the recommendations of the Health Care Coalition and authorizes 1) that BCBS continues to be the health insurance plan provider, with increases to the purchased plan out of pocket maximums and co-payments with no impact on employees in the HRA High and Standard plans, 2) employer contributions to employee health savings accounts (HSAs) in the total amount of $950 single/$1900 2-Person/Full Family coverage (prorated on a per pay basis) be made for employees enrolled in the base plan health insurance option, 3) that the per pay period employee premium cost share rates should be calculated and established as follows for plan year 2027 from plan year 2026 as follows:</w:t>
      </w:r>
    </w:p>
    <w:p>
      <w:pPr>
        <w:pStyle w:val="BodyText"/>
        <w:spacing w:before="10"/>
      </w:pPr>
    </w:p>
    <w:tbl>
      <w:tblPr>
        <w:tblW w:w="0" w:type="auto"/>
        <w:jc w:val="left"/>
        <w:tblInd w:w="15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733"/>
        <w:gridCol w:w="1341"/>
        <w:gridCol w:w="1194"/>
      </w:tblGrid>
      <w:tr>
        <w:trPr>
          <w:trHeight w:val="270" w:hRule="atLeast"/>
        </w:trPr>
        <w:tc>
          <w:tcPr>
            <w:tcW w:w="2733" w:type="dxa"/>
          </w:tcPr>
          <w:p>
            <w:pPr>
              <w:pStyle w:val="TableParagraph"/>
              <w:spacing w:line="240" w:lineRule="auto"/>
              <w:ind w:left="0"/>
              <w:rPr>
                <w:sz w:val="20"/>
              </w:rPr>
            </w:pPr>
          </w:p>
        </w:tc>
        <w:tc>
          <w:tcPr>
            <w:tcW w:w="1341" w:type="dxa"/>
          </w:tcPr>
          <w:p>
            <w:pPr>
              <w:pStyle w:val="TableParagraph"/>
              <w:spacing w:line="251" w:lineRule="exact"/>
              <w:ind w:left="196"/>
              <w:rPr>
                <w:sz w:val="24"/>
              </w:rPr>
            </w:pPr>
            <w:r>
              <w:rPr>
                <w:sz w:val="24"/>
                <w:u w:val="single"/>
              </w:rPr>
              <w:t>2026/pp,</w:t>
            </w:r>
          </w:p>
        </w:tc>
        <w:tc>
          <w:tcPr>
            <w:tcW w:w="1194" w:type="dxa"/>
          </w:tcPr>
          <w:p>
            <w:pPr>
              <w:pStyle w:val="TableParagraph"/>
              <w:spacing w:line="251" w:lineRule="exact"/>
              <w:ind w:left="296"/>
              <w:rPr>
                <w:sz w:val="24"/>
              </w:rPr>
            </w:pPr>
            <w:r>
              <w:rPr>
                <w:sz w:val="24"/>
                <w:u w:val="single"/>
              </w:rPr>
              <w:t>2027/pp.</w:t>
            </w:r>
          </w:p>
        </w:tc>
      </w:tr>
      <w:tr>
        <w:trPr>
          <w:trHeight w:val="275" w:hRule="atLeast"/>
        </w:trPr>
        <w:tc>
          <w:tcPr>
            <w:tcW w:w="2733" w:type="dxa"/>
          </w:tcPr>
          <w:p>
            <w:pPr>
              <w:pStyle w:val="TableParagraph"/>
              <w:rPr>
                <w:sz w:val="24"/>
              </w:rPr>
            </w:pPr>
            <w:r>
              <w:rPr>
                <w:sz w:val="24"/>
              </w:rPr>
              <w:t>BCBS High Single:</w:t>
            </w:r>
          </w:p>
        </w:tc>
        <w:tc>
          <w:tcPr>
            <w:tcW w:w="1341" w:type="dxa"/>
          </w:tcPr>
          <w:p>
            <w:pPr>
              <w:pStyle w:val="TableParagraph"/>
              <w:ind w:left="196"/>
              <w:rPr>
                <w:sz w:val="24"/>
              </w:rPr>
            </w:pPr>
            <w:r>
              <w:rPr>
                <w:sz w:val="24"/>
              </w:rPr>
              <w:t>$137.85</w:t>
            </w:r>
          </w:p>
        </w:tc>
        <w:tc>
          <w:tcPr>
            <w:tcW w:w="1194" w:type="dxa"/>
          </w:tcPr>
          <w:p>
            <w:pPr>
              <w:pStyle w:val="TableParagraph"/>
              <w:ind w:left="296"/>
              <w:rPr>
                <w:sz w:val="24"/>
              </w:rPr>
            </w:pPr>
            <w:r>
              <w:rPr>
                <w:sz w:val="24"/>
              </w:rPr>
              <w:t>$149.30</w:t>
            </w:r>
          </w:p>
        </w:tc>
      </w:tr>
      <w:tr>
        <w:trPr>
          <w:trHeight w:val="276" w:hRule="atLeast"/>
        </w:trPr>
        <w:tc>
          <w:tcPr>
            <w:tcW w:w="2733" w:type="dxa"/>
          </w:tcPr>
          <w:p>
            <w:pPr>
              <w:pStyle w:val="TableParagraph"/>
              <w:rPr>
                <w:sz w:val="24"/>
              </w:rPr>
            </w:pPr>
            <w:r>
              <w:rPr>
                <w:sz w:val="24"/>
              </w:rPr>
              <w:t>BCBS High 2 Person:</w:t>
            </w:r>
          </w:p>
        </w:tc>
        <w:tc>
          <w:tcPr>
            <w:tcW w:w="1341" w:type="dxa"/>
          </w:tcPr>
          <w:p>
            <w:pPr>
              <w:pStyle w:val="TableParagraph"/>
              <w:ind w:left="196"/>
              <w:rPr>
                <w:sz w:val="24"/>
              </w:rPr>
            </w:pPr>
            <w:r>
              <w:rPr>
                <w:sz w:val="24"/>
              </w:rPr>
              <w:t>$330.84</w:t>
            </w:r>
          </w:p>
        </w:tc>
        <w:tc>
          <w:tcPr>
            <w:tcW w:w="1194" w:type="dxa"/>
          </w:tcPr>
          <w:p>
            <w:pPr>
              <w:pStyle w:val="TableParagraph"/>
              <w:ind w:left="296"/>
              <w:rPr>
                <w:sz w:val="24"/>
              </w:rPr>
            </w:pPr>
            <w:r>
              <w:rPr>
                <w:sz w:val="24"/>
              </w:rPr>
              <w:t>$358.32</w:t>
            </w:r>
          </w:p>
        </w:tc>
      </w:tr>
      <w:tr>
        <w:trPr>
          <w:trHeight w:val="413" w:hRule="atLeast"/>
        </w:trPr>
        <w:tc>
          <w:tcPr>
            <w:tcW w:w="2733" w:type="dxa"/>
          </w:tcPr>
          <w:p>
            <w:pPr>
              <w:pStyle w:val="TableParagraph"/>
              <w:spacing w:line="271" w:lineRule="exact"/>
              <w:rPr>
                <w:sz w:val="24"/>
              </w:rPr>
            </w:pPr>
            <w:r>
              <w:rPr>
                <w:sz w:val="24"/>
              </w:rPr>
              <w:t>BCBS High Family:</w:t>
            </w:r>
          </w:p>
        </w:tc>
        <w:tc>
          <w:tcPr>
            <w:tcW w:w="1341" w:type="dxa"/>
          </w:tcPr>
          <w:p>
            <w:pPr>
              <w:pStyle w:val="TableParagraph"/>
              <w:spacing w:line="271" w:lineRule="exact"/>
              <w:ind w:left="196"/>
              <w:rPr>
                <w:sz w:val="24"/>
              </w:rPr>
            </w:pPr>
            <w:r>
              <w:rPr>
                <w:sz w:val="24"/>
              </w:rPr>
              <w:t>$413.56</w:t>
            </w:r>
          </w:p>
        </w:tc>
        <w:tc>
          <w:tcPr>
            <w:tcW w:w="1194" w:type="dxa"/>
          </w:tcPr>
          <w:p>
            <w:pPr>
              <w:pStyle w:val="TableParagraph"/>
              <w:spacing w:line="271" w:lineRule="exact"/>
              <w:ind w:left="296"/>
              <w:rPr>
                <w:sz w:val="24"/>
              </w:rPr>
            </w:pPr>
            <w:r>
              <w:rPr>
                <w:sz w:val="24"/>
              </w:rPr>
              <w:t>$447.90</w:t>
            </w:r>
          </w:p>
        </w:tc>
      </w:tr>
      <w:tr>
        <w:trPr>
          <w:trHeight w:val="413" w:hRule="atLeast"/>
        </w:trPr>
        <w:tc>
          <w:tcPr>
            <w:tcW w:w="2733" w:type="dxa"/>
          </w:tcPr>
          <w:p>
            <w:pPr>
              <w:pStyle w:val="TableParagraph"/>
              <w:spacing w:line="261" w:lineRule="exact" w:before="133"/>
              <w:rPr>
                <w:sz w:val="24"/>
              </w:rPr>
            </w:pPr>
            <w:r>
              <w:rPr>
                <w:sz w:val="24"/>
              </w:rPr>
              <w:t>BCBS Standard Single:</w:t>
            </w:r>
          </w:p>
        </w:tc>
        <w:tc>
          <w:tcPr>
            <w:tcW w:w="1341" w:type="dxa"/>
          </w:tcPr>
          <w:p>
            <w:pPr>
              <w:pStyle w:val="TableParagraph"/>
              <w:spacing w:line="261" w:lineRule="exact" w:before="133"/>
              <w:ind w:left="196"/>
              <w:rPr>
                <w:sz w:val="24"/>
              </w:rPr>
            </w:pPr>
            <w:r>
              <w:rPr>
                <w:sz w:val="24"/>
              </w:rPr>
              <w:t>$57.55</w:t>
            </w:r>
          </w:p>
        </w:tc>
        <w:tc>
          <w:tcPr>
            <w:tcW w:w="1194" w:type="dxa"/>
          </w:tcPr>
          <w:p>
            <w:pPr>
              <w:pStyle w:val="TableParagraph"/>
              <w:spacing w:line="261" w:lineRule="exact" w:before="133"/>
              <w:ind w:left="296"/>
              <w:rPr>
                <w:sz w:val="24"/>
              </w:rPr>
            </w:pPr>
            <w:r>
              <w:rPr>
                <w:sz w:val="24"/>
              </w:rPr>
              <w:t>$63.31</w:t>
            </w:r>
          </w:p>
        </w:tc>
      </w:tr>
      <w:tr>
        <w:trPr>
          <w:trHeight w:val="276" w:hRule="atLeast"/>
        </w:trPr>
        <w:tc>
          <w:tcPr>
            <w:tcW w:w="2733" w:type="dxa"/>
          </w:tcPr>
          <w:p>
            <w:pPr>
              <w:pStyle w:val="TableParagraph"/>
              <w:rPr>
                <w:sz w:val="24"/>
              </w:rPr>
            </w:pPr>
            <w:r>
              <w:rPr>
                <w:sz w:val="24"/>
              </w:rPr>
              <w:t>BCBS Standard 2 Person:</w:t>
            </w:r>
          </w:p>
        </w:tc>
        <w:tc>
          <w:tcPr>
            <w:tcW w:w="1341" w:type="dxa"/>
          </w:tcPr>
          <w:p>
            <w:pPr>
              <w:pStyle w:val="TableParagraph"/>
              <w:ind w:left="196"/>
              <w:rPr>
                <w:sz w:val="24"/>
              </w:rPr>
            </w:pPr>
            <w:r>
              <w:rPr>
                <w:sz w:val="24"/>
              </w:rPr>
              <w:t>$184.25</w:t>
            </w:r>
          </w:p>
        </w:tc>
        <w:tc>
          <w:tcPr>
            <w:tcW w:w="1194" w:type="dxa"/>
          </w:tcPr>
          <w:p>
            <w:pPr>
              <w:pStyle w:val="TableParagraph"/>
              <w:ind w:left="296"/>
              <w:rPr>
                <w:sz w:val="24"/>
              </w:rPr>
            </w:pPr>
            <w:r>
              <w:rPr>
                <w:sz w:val="24"/>
              </w:rPr>
              <w:t>$202.58</w:t>
            </w:r>
          </w:p>
        </w:tc>
      </w:tr>
      <w:tr>
        <w:trPr>
          <w:trHeight w:val="413" w:hRule="atLeast"/>
        </w:trPr>
        <w:tc>
          <w:tcPr>
            <w:tcW w:w="2733" w:type="dxa"/>
          </w:tcPr>
          <w:p>
            <w:pPr>
              <w:pStyle w:val="TableParagraph"/>
              <w:spacing w:line="271" w:lineRule="exact"/>
              <w:rPr>
                <w:sz w:val="24"/>
              </w:rPr>
            </w:pPr>
            <w:r>
              <w:rPr>
                <w:sz w:val="24"/>
              </w:rPr>
              <w:t>BCBS Standard Family:</w:t>
            </w:r>
          </w:p>
        </w:tc>
        <w:tc>
          <w:tcPr>
            <w:tcW w:w="1341" w:type="dxa"/>
          </w:tcPr>
          <w:p>
            <w:pPr>
              <w:pStyle w:val="TableParagraph"/>
              <w:spacing w:line="271" w:lineRule="exact"/>
              <w:ind w:left="196"/>
              <w:rPr>
                <w:sz w:val="24"/>
              </w:rPr>
            </w:pPr>
            <w:r>
              <w:rPr>
                <w:sz w:val="24"/>
              </w:rPr>
              <w:t>$230.19</w:t>
            </w:r>
          </w:p>
        </w:tc>
        <w:tc>
          <w:tcPr>
            <w:tcW w:w="1194" w:type="dxa"/>
          </w:tcPr>
          <w:p>
            <w:pPr>
              <w:pStyle w:val="TableParagraph"/>
              <w:spacing w:line="271" w:lineRule="exact"/>
              <w:ind w:left="296"/>
              <w:rPr>
                <w:sz w:val="24"/>
              </w:rPr>
            </w:pPr>
            <w:r>
              <w:rPr>
                <w:sz w:val="24"/>
              </w:rPr>
              <w:t>$253.22</w:t>
            </w:r>
          </w:p>
        </w:tc>
      </w:tr>
      <w:tr>
        <w:trPr>
          <w:trHeight w:val="413" w:hRule="atLeast"/>
        </w:trPr>
        <w:tc>
          <w:tcPr>
            <w:tcW w:w="2733" w:type="dxa"/>
          </w:tcPr>
          <w:p>
            <w:pPr>
              <w:pStyle w:val="TableParagraph"/>
              <w:spacing w:line="261" w:lineRule="exact" w:before="133"/>
              <w:rPr>
                <w:sz w:val="24"/>
              </w:rPr>
            </w:pPr>
            <w:r>
              <w:rPr>
                <w:sz w:val="24"/>
              </w:rPr>
              <w:t>BCBS Base Single:</w:t>
            </w:r>
          </w:p>
        </w:tc>
        <w:tc>
          <w:tcPr>
            <w:tcW w:w="1341" w:type="dxa"/>
          </w:tcPr>
          <w:p>
            <w:pPr>
              <w:pStyle w:val="TableParagraph"/>
              <w:spacing w:line="261" w:lineRule="exact" w:before="133"/>
              <w:ind w:left="196"/>
              <w:rPr>
                <w:sz w:val="24"/>
              </w:rPr>
            </w:pPr>
            <w:r>
              <w:rPr>
                <w:sz w:val="24"/>
              </w:rPr>
              <w:t>$0.00</w:t>
            </w:r>
          </w:p>
        </w:tc>
        <w:tc>
          <w:tcPr>
            <w:tcW w:w="1194" w:type="dxa"/>
          </w:tcPr>
          <w:p>
            <w:pPr>
              <w:pStyle w:val="TableParagraph"/>
              <w:spacing w:line="261" w:lineRule="exact" w:before="133"/>
              <w:ind w:left="296"/>
              <w:rPr>
                <w:sz w:val="24"/>
              </w:rPr>
            </w:pPr>
            <w:r>
              <w:rPr>
                <w:sz w:val="24"/>
              </w:rPr>
              <w:t>$0.00</w:t>
            </w:r>
          </w:p>
        </w:tc>
      </w:tr>
      <w:tr>
        <w:trPr>
          <w:trHeight w:val="276" w:hRule="atLeast"/>
        </w:trPr>
        <w:tc>
          <w:tcPr>
            <w:tcW w:w="2733" w:type="dxa"/>
          </w:tcPr>
          <w:p>
            <w:pPr>
              <w:pStyle w:val="TableParagraph"/>
              <w:rPr>
                <w:sz w:val="24"/>
              </w:rPr>
            </w:pPr>
            <w:r>
              <w:rPr>
                <w:sz w:val="24"/>
              </w:rPr>
              <w:t>BCBS 2 Person:</w:t>
            </w:r>
          </w:p>
        </w:tc>
        <w:tc>
          <w:tcPr>
            <w:tcW w:w="1341" w:type="dxa"/>
          </w:tcPr>
          <w:p>
            <w:pPr>
              <w:pStyle w:val="TableParagraph"/>
              <w:ind w:left="196"/>
              <w:rPr>
                <w:sz w:val="24"/>
              </w:rPr>
            </w:pPr>
            <w:r>
              <w:rPr>
                <w:sz w:val="24"/>
              </w:rPr>
              <w:t>$0.00</w:t>
            </w:r>
          </w:p>
        </w:tc>
        <w:tc>
          <w:tcPr>
            <w:tcW w:w="1194" w:type="dxa"/>
          </w:tcPr>
          <w:p>
            <w:pPr>
              <w:pStyle w:val="TableParagraph"/>
              <w:ind w:left="296"/>
              <w:rPr>
                <w:sz w:val="24"/>
              </w:rPr>
            </w:pPr>
            <w:r>
              <w:rPr>
                <w:sz w:val="24"/>
              </w:rPr>
              <w:t>$0.00</w:t>
            </w:r>
          </w:p>
        </w:tc>
      </w:tr>
      <w:tr>
        <w:trPr>
          <w:trHeight w:val="270" w:hRule="atLeast"/>
        </w:trPr>
        <w:tc>
          <w:tcPr>
            <w:tcW w:w="2733" w:type="dxa"/>
          </w:tcPr>
          <w:p>
            <w:pPr>
              <w:pStyle w:val="TableParagraph"/>
              <w:spacing w:line="251" w:lineRule="exact"/>
              <w:rPr>
                <w:sz w:val="24"/>
              </w:rPr>
            </w:pPr>
            <w:r>
              <w:rPr>
                <w:sz w:val="24"/>
              </w:rPr>
              <w:t>BCBS Family:</w:t>
            </w:r>
          </w:p>
        </w:tc>
        <w:tc>
          <w:tcPr>
            <w:tcW w:w="1341" w:type="dxa"/>
          </w:tcPr>
          <w:p>
            <w:pPr>
              <w:pStyle w:val="TableParagraph"/>
              <w:spacing w:line="251" w:lineRule="exact"/>
              <w:ind w:left="196"/>
              <w:rPr>
                <w:sz w:val="24"/>
              </w:rPr>
            </w:pPr>
            <w:r>
              <w:rPr>
                <w:sz w:val="24"/>
              </w:rPr>
              <w:t>$0.00</w:t>
            </w:r>
          </w:p>
        </w:tc>
        <w:tc>
          <w:tcPr>
            <w:tcW w:w="1194" w:type="dxa"/>
          </w:tcPr>
          <w:p>
            <w:pPr>
              <w:pStyle w:val="TableParagraph"/>
              <w:spacing w:line="251" w:lineRule="exact"/>
              <w:ind w:left="296"/>
              <w:rPr>
                <w:sz w:val="24"/>
              </w:rPr>
            </w:pPr>
            <w:r>
              <w:rPr>
                <w:sz w:val="24"/>
              </w:rPr>
              <w:t>$0.00</w:t>
            </w:r>
          </w:p>
        </w:tc>
      </w:tr>
    </w:tbl>
    <w:p>
      <w:pPr>
        <w:pStyle w:val="BodyText"/>
        <w:rPr>
          <w:sz w:val="26"/>
        </w:rPr>
      </w:pPr>
    </w:p>
    <w:p>
      <w:pPr>
        <w:pStyle w:val="BodyText"/>
        <w:rPr>
          <w:sz w:val="22"/>
        </w:rPr>
      </w:pPr>
    </w:p>
    <w:p>
      <w:pPr>
        <w:pStyle w:val="BodyText"/>
        <w:ind w:left="120"/>
      </w:pPr>
      <w:r>
        <w:rPr/>
        <w:t>and 4) that the health insurance waiver rates should be increased over 2026 rates by 4% as follows:</w:t>
      </w:r>
    </w:p>
    <w:p>
      <w:pPr>
        <w:pStyle w:val="BodyText"/>
        <w:spacing w:before="10"/>
      </w:pPr>
    </w:p>
    <w:tbl>
      <w:tblPr>
        <w:tblW w:w="0" w:type="auto"/>
        <w:jc w:val="left"/>
        <w:tblInd w:w="15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335"/>
        <w:gridCol w:w="582"/>
        <w:gridCol w:w="1469"/>
        <w:gridCol w:w="1227"/>
      </w:tblGrid>
      <w:tr>
        <w:trPr>
          <w:trHeight w:val="270" w:hRule="atLeast"/>
        </w:trPr>
        <w:tc>
          <w:tcPr>
            <w:tcW w:w="1917" w:type="dxa"/>
            <w:gridSpan w:val="2"/>
          </w:tcPr>
          <w:p>
            <w:pPr>
              <w:pStyle w:val="TableParagraph"/>
              <w:spacing w:line="240" w:lineRule="auto"/>
              <w:ind w:left="0"/>
              <w:rPr>
                <w:sz w:val="20"/>
              </w:rPr>
            </w:pPr>
          </w:p>
        </w:tc>
        <w:tc>
          <w:tcPr>
            <w:tcW w:w="1469" w:type="dxa"/>
          </w:tcPr>
          <w:p>
            <w:pPr>
              <w:pStyle w:val="TableParagraph"/>
              <w:spacing w:line="251" w:lineRule="exact"/>
              <w:ind w:left="293"/>
              <w:rPr>
                <w:sz w:val="24"/>
              </w:rPr>
            </w:pPr>
            <w:r>
              <w:rPr>
                <w:sz w:val="24"/>
                <w:u w:val="single"/>
              </w:rPr>
              <w:t>2026/mo.</w:t>
            </w:r>
          </w:p>
        </w:tc>
        <w:tc>
          <w:tcPr>
            <w:tcW w:w="1227" w:type="dxa"/>
          </w:tcPr>
          <w:p>
            <w:pPr>
              <w:pStyle w:val="TableParagraph"/>
              <w:spacing w:line="251" w:lineRule="exact"/>
              <w:ind w:left="263"/>
              <w:rPr>
                <w:sz w:val="24"/>
              </w:rPr>
            </w:pPr>
            <w:r>
              <w:rPr>
                <w:sz w:val="24"/>
                <w:u w:val="single"/>
              </w:rPr>
              <w:t>2027/mo.</w:t>
            </w:r>
          </w:p>
        </w:tc>
      </w:tr>
      <w:tr>
        <w:trPr>
          <w:trHeight w:val="276" w:hRule="atLeast"/>
        </w:trPr>
        <w:tc>
          <w:tcPr>
            <w:tcW w:w="1335" w:type="dxa"/>
          </w:tcPr>
          <w:p>
            <w:pPr>
              <w:pStyle w:val="TableParagraph"/>
              <w:rPr>
                <w:sz w:val="24"/>
              </w:rPr>
            </w:pPr>
            <w:r>
              <w:rPr>
                <w:sz w:val="24"/>
              </w:rPr>
              <w:t>Full Family</w:t>
            </w:r>
          </w:p>
        </w:tc>
        <w:tc>
          <w:tcPr>
            <w:tcW w:w="582" w:type="dxa"/>
          </w:tcPr>
          <w:p>
            <w:pPr>
              <w:pStyle w:val="TableParagraph"/>
              <w:ind w:left="155"/>
              <w:rPr>
                <w:sz w:val="24"/>
              </w:rPr>
            </w:pPr>
            <w:r>
              <w:rPr>
                <w:sz w:val="24"/>
              </w:rPr>
              <w:t>=</w:t>
            </w:r>
          </w:p>
        </w:tc>
        <w:tc>
          <w:tcPr>
            <w:tcW w:w="1469" w:type="dxa"/>
          </w:tcPr>
          <w:p>
            <w:pPr>
              <w:pStyle w:val="TableParagraph"/>
              <w:ind w:left="293"/>
              <w:rPr>
                <w:sz w:val="24"/>
              </w:rPr>
            </w:pPr>
            <w:r>
              <w:rPr>
                <w:sz w:val="24"/>
              </w:rPr>
              <w:t>$307.43</w:t>
            </w:r>
          </w:p>
        </w:tc>
        <w:tc>
          <w:tcPr>
            <w:tcW w:w="1227" w:type="dxa"/>
          </w:tcPr>
          <w:p>
            <w:pPr>
              <w:pStyle w:val="TableParagraph"/>
              <w:ind w:left="263"/>
              <w:rPr>
                <w:sz w:val="24"/>
              </w:rPr>
            </w:pPr>
            <w:r>
              <w:rPr>
                <w:sz w:val="24"/>
              </w:rPr>
              <w:t>$319.73</w:t>
            </w:r>
          </w:p>
        </w:tc>
      </w:tr>
      <w:tr>
        <w:trPr>
          <w:trHeight w:val="276" w:hRule="atLeast"/>
        </w:trPr>
        <w:tc>
          <w:tcPr>
            <w:tcW w:w="1335" w:type="dxa"/>
          </w:tcPr>
          <w:p>
            <w:pPr>
              <w:pStyle w:val="TableParagraph"/>
              <w:rPr>
                <w:sz w:val="24"/>
              </w:rPr>
            </w:pPr>
            <w:r>
              <w:rPr>
                <w:sz w:val="24"/>
              </w:rPr>
              <w:t>2-Person</w:t>
            </w:r>
          </w:p>
        </w:tc>
        <w:tc>
          <w:tcPr>
            <w:tcW w:w="582" w:type="dxa"/>
          </w:tcPr>
          <w:p>
            <w:pPr>
              <w:pStyle w:val="TableParagraph"/>
              <w:ind w:left="155"/>
              <w:rPr>
                <w:sz w:val="24"/>
              </w:rPr>
            </w:pPr>
            <w:r>
              <w:rPr>
                <w:sz w:val="24"/>
              </w:rPr>
              <w:t>=</w:t>
            </w:r>
          </w:p>
        </w:tc>
        <w:tc>
          <w:tcPr>
            <w:tcW w:w="1469" w:type="dxa"/>
          </w:tcPr>
          <w:p>
            <w:pPr>
              <w:pStyle w:val="TableParagraph"/>
              <w:ind w:left="293"/>
              <w:rPr>
                <w:sz w:val="24"/>
              </w:rPr>
            </w:pPr>
            <w:r>
              <w:rPr>
                <w:sz w:val="24"/>
              </w:rPr>
              <w:t>$274.49</w:t>
            </w:r>
          </w:p>
        </w:tc>
        <w:tc>
          <w:tcPr>
            <w:tcW w:w="1227" w:type="dxa"/>
          </w:tcPr>
          <w:p>
            <w:pPr>
              <w:pStyle w:val="TableParagraph"/>
              <w:ind w:left="263"/>
              <w:rPr>
                <w:sz w:val="24"/>
              </w:rPr>
            </w:pPr>
            <w:r>
              <w:rPr>
                <w:sz w:val="24"/>
              </w:rPr>
              <w:t>$285.47</w:t>
            </w:r>
          </w:p>
        </w:tc>
      </w:tr>
      <w:tr>
        <w:trPr>
          <w:trHeight w:val="270" w:hRule="atLeast"/>
        </w:trPr>
        <w:tc>
          <w:tcPr>
            <w:tcW w:w="1335" w:type="dxa"/>
          </w:tcPr>
          <w:p>
            <w:pPr>
              <w:pStyle w:val="TableParagraph"/>
              <w:spacing w:line="251" w:lineRule="exact"/>
              <w:rPr>
                <w:sz w:val="24"/>
              </w:rPr>
            </w:pPr>
            <w:r>
              <w:rPr>
                <w:sz w:val="24"/>
              </w:rPr>
              <w:t>Single</w:t>
            </w:r>
          </w:p>
        </w:tc>
        <w:tc>
          <w:tcPr>
            <w:tcW w:w="582" w:type="dxa"/>
          </w:tcPr>
          <w:p>
            <w:pPr>
              <w:pStyle w:val="TableParagraph"/>
              <w:spacing w:line="251" w:lineRule="exact"/>
              <w:ind w:left="155"/>
              <w:rPr>
                <w:sz w:val="24"/>
              </w:rPr>
            </w:pPr>
            <w:r>
              <w:rPr>
                <w:sz w:val="24"/>
              </w:rPr>
              <w:t>=</w:t>
            </w:r>
          </w:p>
        </w:tc>
        <w:tc>
          <w:tcPr>
            <w:tcW w:w="1469" w:type="dxa"/>
          </w:tcPr>
          <w:p>
            <w:pPr>
              <w:pStyle w:val="TableParagraph"/>
              <w:spacing w:line="251" w:lineRule="exact"/>
              <w:ind w:left="293"/>
              <w:rPr>
                <w:sz w:val="24"/>
              </w:rPr>
            </w:pPr>
            <w:r>
              <w:rPr>
                <w:sz w:val="24"/>
              </w:rPr>
              <w:t>$175.68</w:t>
            </w:r>
          </w:p>
        </w:tc>
        <w:tc>
          <w:tcPr>
            <w:tcW w:w="1227" w:type="dxa"/>
          </w:tcPr>
          <w:p>
            <w:pPr>
              <w:pStyle w:val="TableParagraph"/>
              <w:spacing w:line="251" w:lineRule="exact"/>
              <w:ind w:left="263"/>
              <w:rPr>
                <w:sz w:val="24"/>
              </w:rPr>
            </w:pPr>
            <w:r>
              <w:rPr>
                <w:sz w:val="24"/>
              </w:rPr>
              <w:t>$182.70</w:t>
            </w:r>
          </w:p>
        </w:tc>
      </w:tr>
    </w:tbl>
    <w:p>
      <w:pPr>
        <w:pStyle w:val="BodyText"/>
        <w:rPr>
          <w:sz w:val="26"/>
        </w:rPr>
      </w:pPr>
    </w:p>
    <w:p>
      <w:pPr>
        <w:pStyle w:val="BodyText"/>
        <w:rPr>
          <w:sz w:val="22"/>
        </w:rPr>
      </w:pPr>
    </w:p>
    <w:p>
      <w:pPr>
        <w:pStyle w:val="BodyText"/>
        <w:ind w:left="120" w:right="512"/>
        <w:jc w:val="both"/>
      </w:pPr>
      <w:r>
        <w:rPr/>
        <w:t>BE IT FURTHER RESOLVED, that any funds remaining of the 50 percent net savings from 2020 and prior years after distribution to health savings accounts shall be held in reserve for future employee premium cost share reduction initiatives as recommended by the Ingham County Health Care Coalition.</w:t>
      </w:r>
    </w:p>
    <w:p>
      <w:pPr>
        <w:pStyle w:val="BodyText"/>
      </w:pPr>
    </w:p>
    <w:p>
      <w:pPr>
        <w:pStyle w:val="BodyText"/>
        <w:ind w:left="120"/>
      </w:pPr>
      <w:r>
        <w:rPr/>
        <w:t>BE IT FURTHER RESOLVED, that the Controller/Administrator is authorized to make any necessary budget adjustments consistent with this resolution.</w:t>
      </w:r>
    </w:p>
    <w:p>
      <w:pPr>
        <w:spacing w:after="0"/>
        <w:sectPr>
          <w:pgSz w:w="12240" w:h="15840"/>
          <w:pgMar w:top="1360" w:bottom="280" w:left="600" w:right="620"/>
        </w:sectPr>
      </w:pPr>
    </w:p>
    <w:p>
      <w:pPr>
        <w:pStyle w:val="BodyText"/>
        <w:spacing w:before="10"/>
        <w:rPr>
          <w:sz w:val="10"/>
        </w:rPr>
      </w:pPr>
    </w:p>
    <w:p>
      <w:pPr>
        <w:pStyle w:val="BodyText"/>
        <w:spacing w:before="90"/>
        <w:ind w:left="120" w:right="188"/>
      </w:pPr>
      <w:r>
        <w:rPr/>
        <w:t>BE IT FURTHER RESOLVED, that the Board Chairperson is authorized to sign the applicable bargaining unit letters of agreement and any other appropriate documents after review and approval as to form by the County Attorney.</w:t>
      </w:r>
    </w:p>
    <w:p>
      <w:pPr>
        <w:pStyle w:val="BodyText"/>
      </w:pPr>
    </w:p>
    <w:p>
      <w:pPr>
        <w:spacing w:before="0"/>
        <w:ind w:left="120" w:right="0" w:firstLine="0"/>
        <w:jc w:val="left"/>
        <w:rPr>
          <w:sz w:val="24"/>
        </w:rPr>
      </w:pPr>
      <w:r>
        <w:rPr>
          <w:b/>
          <w:sz w:val="24"/>
        </w:rPr>
        <w:t>COUNTY SERVICES: Yeas: </w:t>
      </w:r>
      <w:r>
        <w:rPr>
          <w:sz w:val="24"/>
        </w:rPr>
        <w:t>Pratt, Lawrence, Grebner, Sebolt, Peña, Johnson, Maiville, Ruest</w:t>
      </w:r>
    </w:p>
    <w:p>
      <w:pPr>
        <w:tabs>
          <w:tab w:pos="2231" w:val="left" w:leader="none"/>
          <w:tab w:pos="3909"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w:t>
      </w:r>
      <w:r>
        <w:rPr>
          <w:b/>
          <w:spacing w:val="-3"/>
          <w:sz w:val="24"/>
        </w:rPr>
        <w:t> </w:t>
      </w:r>
      <w:r>
        <w:rPr>
          <w:sz w:val="24"/>
        </w:rPr>
        <w:t>None</w:t>
        <w:tab/>
      </w:r>
      <w:r>
        <w:rPr>
          <w:b/>
          <w:sz w:val="24"/>
        </w:rPr>
        <w:t>Approved</w:t>
      </w:r>
      <w:r>
        <w:rPr>
          <w:b/>
          <w:spacing w:val="3"/>
          <w:sz w:val="24"/>
        </w:rPr>
        <w:t> </w:t>
      </w:r>
      <w:r>
        <w:rPr>
          <w:b/>
          <w:sz w:val="24"/>
        </w:rPr>
        <w:t>09/15/26</w:t>
      </w:r>
    </w:p>
    <w:p>
      <w:pPr>
        <w:pStyle w:val="BodyText"/>
        <w:spacing w:before="6"/>
        <w:rPr>
          <w:b/>
          <w:sz w:val="27"/>
        </w:rPr>
      </w:pPr>
    </w:p>
    <w:p>
      <w:pPr>
        <w:spacing w:before="0"/>
        <w:ind w:left="120" w:right="0" w:firstLine="0"/>
        <w:jc w:val="left"/>
        <w:rPr>
          <w:sz w:val="24"/>
        </w:rPr>
      </w:pPr>
      <w:r>
        <w:rPr>
          <w:b/>
          <w:sz w:val="24"/>
        </w:rPr>
        <w:t>FINANCE: Yeas: </w:t>
      </w:r>
      <w:r>
        <w:rPr>
          <w:sz w:val="24"/>
        </w:rPr>
        <w:t>Grebner, Morgan, Tennis, Sebolt, Maiville</w:t>
      </w:r>
    </w:p>
    <w:p>
      <w:pPr>
        <w:tabs>
          <w:tab w:pos="2183" w:val="left" w:leader="none"/>
          <w:tab w:pos="4900" w:val="left" w:leader="none"/>
        </w:tabs>
        <w:spacing w:before="41"/>
        <w:ind w:left="720" w:right="0" w:firstLine="0"/>
        <w:jc w:val="left"/>
        <w:rPr>
          <w:b/>
          <w:sz w:val="24"/>
        </w:rPr>
      </w:pPr>
      <w:r>
        <w:rPr>
          <w:b/>
          <w:sz w:val="24"/>
        </w:rPr>
        <w:t>Nays:</w:t>
      </w:r>
      <w:r>
        <w:rPr>
          <w:b/>
          <w:spacing w:val="58"/>
          <w:sz w:val="24"/>
        </w:rPr>
        <w:t> </w:t>
      </w:r>
      <w:r>
        <w:rPr>
          <w:sz w:val="24"/>
        </w:rPr>
        <w:t>None</w:t>
        <w:tab/>
      </w:r>
      <w:r>
        <w:rPr>
          <w:b/>
          <w:sz w:val="24"/>
        </w:rPr>
        <w:t>Absent:</w:t>
      </w:r>
      <w:r>
        <w:rPr>
          <w:b/>
          <w:spacing w:val="57"/>
          <w:sz w:val="24"/>
        </w:rPr>
        <w:t> </w:t>
      </w:r>
      <w:r>
        <w:rPr>
          <w:sz w:val="24"/>
        </w:rPr>
        <w:t>Polsdofer,</w:t>
      </w:r>
      <w:r>
        <w:rPr>
          <w:spacing w:val="-1"/>
          <w:sz w:val="24"/>
        </w:rPr>
        <w:t> </w:t>
      </w:r>
      <w:r>
        <w:rPr>
          <w:sz w:val="24"/>
        </w:rPr>
        <w:t>Pratt</w:t>
        <w:tab/>
      </w:r>
      <w:r>
        <w:rPr>
          <w:b/>
          <w:sz w:val="24"/>
        </w:rPr>
        <w:t>Approved  09/16/26</w:t>
      </w:r>
    </w:p>
    <w:sectPr>
      <w:pgSz w:w="12240" w:h="15840"/>
      <w:pgMar w:top="1500" w:bottom="280" w:left="600" w:right="6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right="98"/>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spacing w:line="256" w:lineRule="exact"/>
      <w:ind w:left="50"/>
    </w:pPr>
    <w:rPr>
      <w:rFonts w:ascii="Times New Roman" w:hAnsi="Times New Roman" w:eastAsia="Times New Roman" w:cs="Times New Roman"/>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2026-09-23T14:50:19Z</dcterms:created>
  <dcterms:modified xsi:type="dcterms:W3CDTF">2026-09-23T14:50:19Z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2026-09-23T00:00:00Z</vt:filetime>
  </property>
  <property fmtid="{D5CDD505-2E9C-101B-9397-08002B2CF9AE}" pid="3" name="Creator">
    <vt:lpwstr>Acrobat PDFMaker 20 for Word</vt:lpwstr>
  </property>
  <property fmtid="{D5CDD505-2E9C-101B-9397-08002B2CF9AE}" pid="4" name="LastSaved">
    <vt:filetime>2026-09-23T00:00:00Z</vt:filetime>
  </property>
</Properties>
</file>